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296" w:rsidRPr="009D4296" w:rsidRDefault="009D4296" w:rsidP="009D4296">
      <w:pPr>
        <w:spacing w:before="100" w:beforeAutospacing="1" w:after="100" w:afterAutospacing="1"/>
        <w:ind w:left="0" w:right="0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</w:pPr>
      <w:r w:rsidRPr="009D429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IN"/>
        </w:rPr>
        <w:t>DLF Capital Greens Phase I Specification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38"/>
        <w:gridCol w:w="6168"/>
      </w:tblGrid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Floors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1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Living/Dining/Passage &amp; Lobby within Apartment 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Vetrified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tiles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Kitchen &amp; Toilets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Anti Skid Ceramic Tiles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Bedrooms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Laminated Wooden Flooring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Balcony</w:t>
            </w:r>
          </w:p>
        </w:tc>
        <w:tc>
          <w:tcPr>
            <w:tcW w:w="3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Terazzo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Tiles / Ceramic Tiles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Walls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Living/ Dining/ Bedrooms/ Passage &amp; Lobby within Apartment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Acrylic emulsion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Kitchen &amp; Toilets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Combination of ceramic tiles, oil bound distemper and/or Mirror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Ceilings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Ceilings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Oil Bound Distemper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Counters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Toilets &amp; Kitchen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Counters in Marble / Granite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Fittings / Fixtures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Toilets &amp; Kitchen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Single Lever CP fittings, White Chinaware. Tower Rail / Ring (No bath tubs). Stainless Steel Double bowl, single drain board kitchen sink.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Study Room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Floor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Terrazo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/ Ceramic Tiles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Walls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Oil Bound Distemper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Ceiling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Oil Bound Distemper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Doors &amp; Windows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spacing w:after="240"/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Internal Doors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Polished / Painted frames made of Hardwood Entrance door- Teak veneered &amp; polished shutter / Moulded skin door. Internal door – Painted flush shutters / moulded skin door.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External </w:t>
            </w: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Glazings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Powder coated Aluminium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Electricals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Modular type switches &amp; sockets, copper wiring (fittings like fans, light fixtures, geysers, appliances etc. not provided). Back-up power not exceeding 6 KVA (for Apartments </w:t>
            </w: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area 1450 </w:t>
            </w: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sq.ft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.) and not exceeding 7 KVA (for 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apartments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</w:t>
            </w: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upto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area of 1600 </w:t>
            </w:r>
            <w:proofErr w:type="spellStart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sq.ft</w:t>
            </w:r>
            <w:proofErr w:type="spell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.) in area.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lastRenderedPageBreak/>
              <w:t xml:space="preserve">Security System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Proximity Card Access Control, CCTV for Basement parking and Entrance lobby at Ground Floor. Boom barriers at entry &amp; exit of the complex and at entry &amp; exit of the basement parking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Facility Centre </w:t>
            </w:r>
          </w:p>
        </w:tc>
      </w:tr>
      <w:tr w:rsidR="009D4296" w:rsidRPr="009D4296" w:rsidTr="009D4296">
        <w:trPr>
          <w:tblCellSpacing w:w="0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D4296" w:rsidRPr="009D4296" w:rsidRDefault="009D4296" w:rsidP="009D4296">
            <w:pPr>
              <w:ind w:left="0" w:right="0"/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</w:pPr>
            <w:r w:rsidRPr="009D4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Air-</w:t>
            </w:r>
            <w:proofErr w:type="gramStart"/>
            <w:r w:rsidRPr="009D429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en-IN"/>
              </w:rPr>
              <w:t>conditioned </w:t>
            </w:r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>:</w:t>
            </w:r>
            <w:proofErr w:type="gramEnd"/>
            <w:r w:rsidRPr="009D4296">
              <w:rPr>
                <w:rFonts w:ascii="Times New Roman" w:eastAsia="Times New Roman" w:hAnsi="Times New Roman" w:cs="Times New Roman"/>
                <w:sz w:val="24"/>
                <w:szCs w:val="24"/>
                <w:lang w:eastAsia="en-IN"/>
              </w:rPr>
              <w:t xml:space="preserve"> Party Room, Gymnasium, Restaurant, Multi-purpose Hall and Banquet Hall. Swimming Pool, Change Rooms and Dispensary. Convenient Shopping Centre, Indoor Games – Card Rooms, Pool. Reading Lounge, Community Space for Elderly Citizens. </w:t>
            </w:r>
          </w:p>
        </w:tc>
      </w:tr>
    </w:tbl>
    <w:p w:rsidR="00D91BDF" w:rsidRDefault="00D91BDF"/>
    <w:sectPr w:rsidR="00D91BDF" w:rsidSect="00D91BD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9D4296"/>
    <w:rsid w:val="009D4296"/>
    <w:rsid w:val="00D91BDF"/>
    <w:rsid w:val="00DD5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567" w:right="73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1BDF"/>
  </w:style>
  <w:style w:type="paragraph" w:styleId="Heading1">
    <w:name w:val="heading 1"/>
    <w:basedOn w:val="Normal"/>
    <w:link w:val="Heading1Char"/>
    <w:uiPriority w:val="9"/>
    <w:qFormat/>
    <w:rsid w:val="009D4296"/>
    <w:pPr>
      <w:spacing w:before="100" w:beforeAutospacing="1" w:after="100" w:afterAutospacing="1"/>
      <w:ind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D4296"/>
    <w:rPr>
      <w:rFonts w:ascii="Times New Roman" w:eastAsia="Times New Roman" w:hAnsi="Times New Roman" w:cs="Times New Roman"/>
      <w:b/>
      <w:bCs/>
      <w:kern w:val="36"/>
      <w:sz w:val="48"/>
      <w:szCs w:val="48"/>
      <w:lang w:eastAsia="en-IN"/>
    </w:rPr>
  </w:style>
  <w:style w:type="character" w:styleId="Emphasis">
    <w:name w:val="Emphasis"/>
    <w:basedOn w:val="DefaultParagraphFont"/>
    <w:uiPriority w:val="20"/>
    <w:qFormat/>
    <w:rsid w:val="009D429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3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96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1534</Characters>
  <Application>Microsoft Office Word</Application>
  <DocSecurity>0</DocSecurity>
  <Lines>12</Lines>
  <Paragraphs>3</Paragraphs>
  <ScaleCrop>false</ScaleCrop>
  <Company/>
  <LinksUpToDate>false</LinksUpToDate>
  <CharactersWithSpaces>1799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2014-05-08T10:18:00Z</dcterms:created>
  <dcterms:modified xsi:type="dcterms:W3CDTF">2014-05-08T10:19:00Z</dcterms:modified>
</cp:coreProperties>
</file>